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3C" w:rsidRPr="00B6433C" w:rsidRDefault="00B6433C" w:rsidP="00B6433C">
      <w:pPr>
        <w:shd w:val="clear" w:color="auto" w:fill="EFEFEF"/>
        <w:spacing w:line="480" w:lineRule="atLeast"/>
        <w:textAlignment w:val="baseline"/>
        <w:rPr>
          <w:rFonts w:ascii="Helvetica" w:hAnsi="Helvetica" w:cs="Helvetica"/>
          <w:color w:val="333344"/>
          <w:sz w:val="18"/>
          <w:szCs w:val="18"/>
          <w:lang w:eastAsia="en-US"/>
        </w:rPr>
      </w:pPr>
    </w:p>
    <w:p w:rsidR="00B6433C" w:rsidRPr="00B6433C" w:rsidRDefault="00B6433C" w:rsidP="00B6433C">
      <w:pPr>
        <w:shd w:val="clear" w:color="auto" w:fill="FFFFFF"/>
        <w:jc w:val="center"/>
        <w:textAlignment w:val="baseline"/>
        <w:outlineLvl w:val="0"/>
        <w:rPr>
          <w:rFonts w:ascii="Tahoma" w:hAnsi="Tahoma" w:cs="Tahoma"/>
          <w:color w:val="444444"/>
          <w:kern w:val="36"/>
          <w:sz w:val="47"/>
          <w:szCs w:val="47"/>
          <w:lang w:eastAsia="en-US"/>
        </w:rPr>
      </w:pPr>
      <w:hyperlink r:id="rId5" w:tooltip="Indemnizatia si concediul pentru ingrijirea copilului cu handicap" w:history="1">
        <w:proofErr w:type="spellStart"/>
        <w:r w:rsidRPr="00B6433C">
          <w:rPr>
            <w:rFonts w:ascii="inherit" w:hAnsi="inherit" w:cs="Tahoma"/>
            <w:color w:val="000000"/>
            <w:kern w:val="36"/>
            <w:sz w:val="47"/>
            <w:u w:val="single"/>
            <w:lang w:eastAsia="en-US"/>
          </w:rPr>
          <w:t>Indemnizatia</w:t>
        </w:r>
        <w:proofErr w:type="spellEnd"/>
        <w:r w:rsidRPr="00B6433C">
          <w:rPr>
            <w:rFonts w:ascii="inherit" w:hAnsi="inherit" w:cs="Tahoma"/>
            <w:color w:val="000000"/>
            <w:kern w:val="36"/>
            <w:sz w:val="47"/>
            <w:u w:val="single"/>
            <w:lang w:eastAsia="en-US"/>
          </w:rPr>
          <w:t xml:space="preserve"> </w:t>
        </w:r>
        <w:proofErr w:type="spellStart"/>
        <w:r w:rsidRPr="00B6433C">
          <w:rPr>
            <w:rFonts w:ascii="inherit" w:hAnsi="inherit" w:cs="Tahoma"/>
            <w:color w:val="000000"/>
            <w:kern w:val="36"/>
            <w:sz w:val="47"/>
            <w:u w:val="single"/>
            <w:lang w:eastAsia="en-US"/>
          </w:rPr>
          <w:t>si</w:t>
        </w:r>
        <w:proofErr w:type="spellEnd"/>
        <w:r w:rsidRPr="00B6433C">
          <w:rPr>
            <w:rFonts w:ascii="inherit" w:hAnsi="inherit" w:cs="Tahoma"/>
            <w:color w:val="000000"/>
            <w:kern w:val="36"/>
            <w:sz w:val="47"/>
            <w:u w:val="single"/>
            <w:lang w:eastAsia="en-US"/>
          </w:rPr>
          <w:t xml:space="preserve"> </w:t>
        </w:r>
        <w:proofErr w:type="spellStart"/>
        <w:r w:rsidRPr="00B6433C">
          <w:rPr>
            <w:rFonts w:ascii="inherit" w:hAnsi="inherit" w:cs="Tahoma"/>
            <w:color w:val="000000"/>
            <w:kern w:val="36"/>
            <w:sz w:val="47"/>
            <w:u w:val="single"/>
            <w:lang w:eastAsia="en-US"/>
          </w:rPr>
          <w:t>concediul</w:t>
        </w:r>
        <w:proofErr w:type="spellEnd"/>
        <w:r w:rsidRPr="00B6433C">
          <w:rPr>
            <w:rFonts w:ascii="inherit" w:hAnsi="inherit" w:cs="Tahoma"/>
            <w:color w:val="000000"/>
            <w:kern w:val="36"/>
            <w:sz w:val="47"/>
            <w:u w:val="single"/>
            <w:lang w:eastAsia="en-US"/>
          </w:rPr>
          <w:t xml:space="preserve"> </w:t>
        </w:r>
        <w:proofErr w:type="spellStart"/>
        <w:r w:rsidRPr="00B6433C">
          <w:rPr>
            <w:rFonts w:ascii="inherit" w:hAnsi="inherit" w:cs="Tahoma"/>
            <w:color w:val="000000"/>
            <w:kern w:val="36"/>
            <w:sz w:val="47"/>
            <w:u w:val="single"/>
            <w:lang w:eastAsia="en-US"/>
          </w:rPr>
          <w:t>pentru</w:t>
        </w:r>
        <w:proofErr w:type="spellEnd"/>
        <w:r w:rsidRPr="00B6433C">
          <w:rPr>
            <w:rFonts w:ascii="inherit" w:hAnsi="inherit" w:cs="Tahoma"/>
            <w:color w:val="000000"/>
            <w:kern w:val="36"/>
            <w:sz w:val="47"/>
            <w:u w:val="single"/>
            <w:lang w:eastAsia="en-US"/>
          </w:rPr>
          <w:t xml:space="preserve"> </w:t>
        </w:r>
        <w:proofErr w:type="spellStart"/>
        <w:r w:rsidRPr="00B6433C">
          <w:rPr>
            <w:rFonts w:ascii="inherit" w:hAnsi="inherit" w:cs="Tahoma"/>
            <w:color w:val="000000"/>
            <w:kern w:val="36"/>
            <w:sz w:val="47"/>
            <w:u w:val="single"/>
            <w:lang w:eastAsia="en-US"/>
          </w:rPr>
          <w:t>ingrijirea</w:t>
        </w:r>
        <w:proofErr w:type="spellEnd"/>
        <w:r w:rsidRPr="00B6433C">
          <w:rPr>
            <w:rFonts w:ascii="inherit" w:hAnsi="inherit" w:cs="Tahoma"/>
            <w:color w:val="000000"/>
            <w:kern w:val="36"/>
            <w:sz w:val="47"/>
            <w:u w:val="single"/>
            <w:lang w:eastAsia="en-US"/>
          </w:rPr>
          <w:t xml:space="preserve"> </w:t>
        </w:r>
        <w:proofErr w:type="spellStart"/>
        <w:r w:rsidRPr="00B6433C">
          <w:rPr>
            <w:rFonts w:ascii="inherit" w:hAnsi="inherit" w:cs="Tahoma"/>
            <w:color w:val="000000"/>
            <w:kern w:val="36"/>
            <w:sz w:val="47"/>
            <w:u w:val="single"/>
            <w:lang w:eastAsia="en-US"/>
          </w:rPr>
          <w:t>copilului</w:t>
        </w:r>
        <w:proofErr w:type="spellEnd"/>
        <w:r w:rsidRPr="00B6433C">
          <w:rPr>
            <w:rFonts w:ascii="inherit" w:hAnsi="inherit" w:cs="Tahoma"/>
            <w:color w:val="000000"/>
            <w:kern w:val="36"/>
            <w:sz w:val="47"/>
            <w:u w:val="single"/>
            <w:lang w:eastAsia="en-US"/>
          </w:rPr>
          <w:t xml:space="preserve"> cu handicap</w:t>
        </w:r>
      </w:hyperlink>
    </w:p>
    <w:p w:rsidR="00B6433C" w:rsidRPr="00B6433C" w:rsidRDefault="00B6433C" w:rsidP="00B6433C">
      <w:pPr>
        <w:shd w:val="clear" w:color="auto" w:fill="FFFFFF"/>
        <w:spacing w:line="360" w:lineRule="atLeast"/>
        <w:textAlignment w:val="baseline"/>
        <w:rPr>
          <w:rFonts w:ascii="Helvetica" w:hAnsi="Helvetica" w:cs="Helvetica"/>
          <w:color w:val="333344"/>
          <w:sz w:val="18"/>
          <w:szCs w:val="18"/>
          <w:lang w:eastAsia="en-US"/>
        </w:rPr>
      </w:pPr>
      <w:r w:rsidRPr="00B6433C">
        <w:rPr>
          <w:rFonts w:ascii="Helvetica" w:hAnsi="Helvetica" w:cs="Helvetica"/>
          <w:color w:val="333344"/>
          <w:sz w:val="18"/>
          <w:szCs w:val="18"/>
          <w:lang w:eastAsia="en-US"/>
        </w:rPr>
        <w:br/>
      </w:r>
    </w:p>
    <w:p w:rsidR="00B6433C" w:rsidRPr="00B6433C" w:rsidRDefault="00B6433C" w:rsidP="00B6433C">
      <w:pPr>
        <w:shd w:val="clear" w:color="auto" w:fill="FFFFFF"/>
        <w:spacing w:after="72"/>
        <w:textAlignment w:val="baseline"/>
        <w:outlineLvl w:val="2"/>
        <w:rPr>
          <w:rFonts w:ascii="inherit" w:hAnsi="inherit" w:cs="Helvetica"/>
          <w:color w:val="444444"/>
          <w:sz w:val="33"/>
          <w:szCs w:val="33"/>
          <w:lang w:eastAsia="en-US"/>
        </w:rPr>
      </w:pPr>
      <w:r>
        <w:rPr>
          <w:rFonts w:ascii="inherit" w:hAnsi="inherit" w:cs="Helvetica"/>
          <w:color w:val="444444"/>
          <w:sz w:val="33"/>
          <w:szCs w:val="33"/>
          <w:lang w:eastAsia="en-US"/>
        </w:rPr>
        <w:t xml:space="preserve">  </w:t>
      </w:r>
      <w:r>
        <w:rPr>
          <w:rFonts w:ascii="inherit" w:hAnsi="inherit" w:cs="Helvetica"/>
          <w:color w:val="444444"/>
          <w:sz w:val="33"/>
          <w:szCs w:val="33"/>
          <w:lang w:eastAsia="en-US"/>
        </w:rPr>
        <w:tab/>
        <w:t xml:space="preserve"> </w:t>
      </w:r>
      <w:r w:rsidRPr="00B6433C">
        <w:rPr>
          <w:rFonts w:ascii="inherit" w:hAnsi="inherit" w:cs="Helvetica"/>
          <w:color w:val="444444"/>
          <w:sz w:val="33"/>
          <w:szCs w:val="33"/>
          <w:lang w:eastAsia="en-US"/>
        </w:rPr>
        <w:t>SE ACORDĂ</w:t>
      </w:r>
    </w:p>
    <w:p w:rsidR="00B6433C" w:rsidRPr="00B6433C" w:rsidRDefault="00B6433C" w:rsidP="00B6433C">
      <w:pPr>
        <w:numPr>
          <w:ilvl w:val="0"/>
          <w:numId w:val="27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gram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Conform</w:t>
      </w:r>
      <w:proofErr w:type="gram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O.U.G. 111/ 2010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privind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concediul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indemnizația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lunara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pentru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creșterea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copiilor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.</w:t>
      </w:r>
    </w:p>
    <w:p w:rsidR="00B6433C" w:rsidRDefault="00B6433C" w:rsidP="00B6433C">
      <w:pPr>
        <w:numPr>
          <w:ilvl w:val="0"/>
          <w:numId w:val="27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Conform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Hotărârii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Guvernului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52 / 2011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pentru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aprobarea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Normelor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metodologice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aplicare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prevederilor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Ordonanței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Urgență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Guvernului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nr. 111 / 2010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privind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concediul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indemnizația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lunara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pentru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creșterea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copiilor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.</w:t>
      </w:r>
    </w:p>
    <w:p w:rsidR="00B6433C" w:rsidRPr="00B6433C" w:rsidRDefault="00B6433C" w:rsidP="00B6433C">
      <w:p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</w:p>
    <w:p w:rsidR="00B6433C" w:rsidRPr="00B6433C" w:rsidRDefault="00B6433C" w:rsidP="00B6433C">
      <w:pPr>
        <w:shd w:val="clear" w:color="auto" w:fill="FFFFFF"/>
        <w:spacing w:after="72"/>
        <w:textAlignment w:val="baseline"/>
        <w:outlineLvl w:val="2"/>
        <w:rPr>
          <w:rFonts w:ascii="inherit" w:hAnsi="inherit" w:cs="Helvetica"/>
          <w:color w:val="444444"/>
          <w:sz w:val="33"/>
          <w:szCs w:val="33"/>
          <w:lang w:eastAsia="en-US"/>
        </w:rPr>
      </w:pPr>
      <w:r>
        <w:rPr>
          <w:rFonts w:ascii="inherit" w:hAnsi="inherit" w:cs="Helvetica"/>
          <w:color w:val="444444"/>
          <w:sz w:val="33"/>
          <w:szCs w:val="33"/>
          <w:lang w:eastAsia="en-US"/>
        </w:rPr>
        <w:tab/>
      </w:r>
      <w:r w:rsidRPr="00B6433C">
        <w:rPr>
          <w:rFonts w:ascii="inherit" w:hAnsi="inherit" w:cs="Helvetica"/>
          <w:color w:val="444444"/>
          <w:sz w:val="33"/>
          <w:szCs w:val="33"/>
          <w:lang w:eastAsia="en-US"/>
        </w:rPr>
        <w:t>TITULAR ŞI BENEFICIAR</w:t>
      </w:r>
    </w:p>
    <w:p w:rsidR="00B6433C" w:rsidRPr="00B6433C" w:rsidRDefault="00B6433C" w:rsidP="00B6433C">
      <w:pPr>
        <w:numPr>
          <w:ilvl w:val="0"/>
          <w:numId w:val="28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Oricare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din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părinții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cu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dizabilitate</w:t>
      </w:r>
      <w:proofErr w:type="spellEnd"/>
    </w:p>
    <w:p w:rsidR="00B6433C" w:rsidRDefault="00B6433C" w:rsidP="00B6433C">
      <w:pPr>
        <w:numPr>
          <w:ilvl w:val="0"/>
          <w:numId w:val="28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Beneficiază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aceleaşi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drepturi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şi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una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dintre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persoanele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care au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adoptat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cărora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li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s-</w:t>
      </w:r>
      <w:proofErr w:type="gram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</w:t>
      </w:r>
      <w:proofErr w:type="gram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încredinţat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in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vederea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adopţiei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care au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in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plasament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ori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plasament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in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regim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urgenţă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precum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şi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persoana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care 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fost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numită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tutore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.</w:t>
      </w:r>
    </w:p>
    <w:p w:rsidR="00B6433C" w:rsidRPr="00B6433C" w:rsidRDefault="00B6433C" w:rsidP="00B6433C">
      <w:p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</w:p>
    <w:p w:rsidR="00B6433C" w:rsidRPr="00B6433C" w:rsidRDefault="00B6433C" w:rsidP="00B6433C">
      <w:pPr>
        <w:shd w:val="clear" w:color="auto" w:fill="FFFFFF"/>
        <w:spacing w:after="72"/>
        <w:textAlignment w:val="baseline"/>
        <w:outlineLvl w:val="2"/>
        <w:rPr>
          <w:rFonts w:ascii="inherit" w:hAnsi="inherit" w:cs="Helvetica"/>
          <w:color w:val="444444"/>
          <w:sz w:val="33"/>
          <w:szCs w:val="33"/>
          <w:lang w:eastAsia="en-US"/>
        </w:rPr>
      </w:pPr>
      <w:r>
        <w:rPr>
          <w:rFonts w:ascii="inherit" w:hAnsi="inherit" w:cs="Helvetica"/>
          <w:color w:val="444444"/>
          <w:sz w:val="33"/>
          <w:szCs w:val="33"/>
          <w:lang w:eastAsia="en-US"/>
        </w:rPr>
        <w:tab/>
      </w:r>
      <w:r w:rsidRPr="00B6433C">
        <w:rPr>
          <w:rFonts w:ascii="inherit" w:hAnsi="inherit" w:cs="Helvetica"/>
          <w:color w:val="444444"/>
          <w:sz w:val="33"/>
          <w:szCs w:val="33"/>
          <w:lang w:eastAsia="en-US"/>
        </w:rPr>
        <w:t>CUANTUM</w:t>
      </w:r>
    </w:p>
    <w:p w:rsidR="00B6433C" w:rsidRPr="00B6433C" w:rsidRDefault="00B6433C" w:rsidP="00B6433C">
      <w:pPr>
        <w:shd w:val="clear" w:color="auto" w:fill="FFFFFF"/>
        <w:spacing w:after="240" w:line="360" w:lineRule="atLeast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Începând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cu data de 1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februarie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2017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cuantumul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indemnizaţiei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pentru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îngrijirea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proofErr w:type="gram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este</w:t>
      </w:r>
      <w:proofErr w:type="spellEnd"/>
      <w:proofErr w:type="gram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85% din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salariul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minim brut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economie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și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anume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1233 lei.</w:t>
      </w:r>
    </w:p>
    <w:p w:rsidR="00B6433C" w:rsidRPr="00B6433C" w:rsidRDefault="00B6433C" w:rsidP="00B6433C">
      <w:pPr>
        <w:shd w:val="clear" w:color="auto" w:fill="FFFFFF"/>
        <w:spacing w:after="72"/>
        <w:textAlignment w:val="baseline"/>
        <w:outlineLvl w:val="2"/>
        <w:rPr>
          <w:rFonts w:ascii="inherit" w:hAnsi="inherit" w:cs="Helvetica"/>
          <w:color w:val="444444"/>
          <w:sz w:val="33"/>
          <w:szCs w:val="33"/>
          <w:lang w:eastAsia="en-US"/>
        </w:rPr>
      </w:pPr>
      <w:r>
        <w:rPr>
          <w:rFonts w:ascii="inherit" w:hAnsi="inherit" w:cs="Helvetica"/>
          <w:color w:val="444444"/>
          <w:sz w:val="33"/>
          <w:szCs w:val="33"/>
          <w:lang w:eastAsia="en-US"/>
        </w:rPr>
        <w:tab/>
      </w:r>
      <w:r w:rsidRPr="00B6433C">
        <w:rPr>
          <w:rFonts w:ascii="inherit" w:hAnsi="inherit" w:cs="Helvetica"/>
          <w:color w:val="444444"/>
          <w:sz w:val="33"/>
          <w:szCs w:val="33"/>
          <w:lang w:eastAsia="en-US"/>
        </w:rPr>
        <w:t>CONDIŢII</w:t>
      </w:r>
    </w:p>
    <w:p w:rsidR="00B6433C" w:rsidRPr="00B6433C" w:rsidRDefault="00B6433C" w:rsidP="00B6433C">
      <w:pPr>
        <w:numPr>
          <w:ilvl w:val="0"/>
          <w:numId w:val="29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Este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cetățean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român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cetățean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străin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apatrid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;</w:t>
      </w:r>
    </w:p>
    <w:p w:rsidR="00B6433C" w:rsidRPr="00B6433C" w:rsidRDefault="00B6433C" w:rsidP="00B6433C">
      <w:pPr>
        <w:numPr>
          <w:ilvl w:val="0"/>
          <w:numId w:val="29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Are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domiciliul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reședința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teritoriul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României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;</w:t>
      </w:r>
    </w:p>
    <w:p w:rsidR="00B6433C" w:rsidRPr="00B6433C" w:rsidRDefault="00B6433C" w:rsidP="00B6433C">
      <w:pPr>
        <w:numPr>
          <w:ilvl w:val="0"/>
          <w:numId w:val="29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Locuiește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in Romania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împreună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cu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/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pentru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care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solicita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drepturile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se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ocupa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creșterea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îngrijirea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acestuia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/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acestora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;</w:t>
      </w:r>
    </w:p>
    <w:p w:rsidR="00B6433C" w:rsidRPr="00B6433C" w:rsidRDefault="00B6433C" w:rsidP="00B6433C">
      <w:pPr>
        <w:numPr>
          <w:ilvl w:val="0"/>
          <w:numId w:val="29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este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încadrat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într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-un grad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dizabilitate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și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are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vârsta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cuprinsă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între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3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și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7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ani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;</w:t>
      </w:r>
    </w:p>
    <w:p w:rsidR="00B6433C" w:rsidRDefault="00B6433C" w:rsidP="00B6433C">
      <w:pPr>
        <w:numPr>
          <w:ilvl w:val="0"/>
          <w:numId w:val="29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Părintele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beneficiat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anterior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indemnizație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și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concediu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creștere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realizat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venituri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impozabile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anul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anterior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datei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depunerii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cererii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indemnizație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îngrijire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s-a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aflat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una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din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perioadele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asimilate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prevăzute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articolul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2,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alineatele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5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și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6 din OUG 111/2010,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anul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anterior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datei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depunerii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cererii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.</w:t>
      </w:r>
    </w:p>
    <w:p w:rsidR="00B6433C" w:rsidRPr="00B6433C" w:rsidRDefault="00B6433C" w:rsidP="00B6433C">
      <w:p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</w:p>
    <w:p w:rsidR="00B6433C" w:rsidRPr="00B6433C" w:rsidRDefault="00B6433C" w:rsidP="00B6433C">
      <w:pPr>
        <w:shd w:val="clear" w:color="auto" w:fill="FFFFFF"/>
        <w:spacing w:after="72"/>
        <w:textAlignment w:val="baseline"/>
        <w:outlineLvl w:val="2"/>
        <w:rPr>
          <w:rFonts w:ascii="inherit" w:hAnsi="inherit" w:cs="Helvetica"/>
          <w:color w:val="444444"/>
          <w:sz w:val="33"/>
          <w:szCs w:val="33"/>
          <w:lang w:eastAsia="en-US"/>
        </w:rPr>
      </w:pPr>
      <w:r>
        <w:rPr>
          <w:rFonts w:ascii="inherit" w:hAnsi="inherit" w:cs="Helvetica"/>
          <w:color w:val="444444"/>
          <w:sz w:val="33"/>
          <w:szCs w:val="33"/>
          <w:lang w:eastAsia="en-US"/>
        </w:rPr>
        <w:tab/>
      </w:r>
      <w:r w:rsidRPr="00B6433C">
        <w:rPr>
          <w:rFonts w:ascii="inherit" w:hAnsi="inherit" w:cs="Helvetica"/>
          <w:color w:val="444444"/>
          <w:sz w:val="33"/>
          <w:szCs w:val="33"/>
          <w:lang w:eastAsia="en-US"/>
        </w:rPr>
        <w:t>STABILIREA ȘI PLATA DREPTULUI</w:t>
      </w:r>
    </w:p>
    <w:p w:rsidR="00B6433C" w:rsidRPr="00B6433C" w:rsidRDefault="00B6433C" w:rsidP="00B6433C">
      <w:pPr>
        <w:numPr>
          <w:ilvl w:val="0"/>
          <w:numId w:val="30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începând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cu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ziua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următoare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celei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in care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încetează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conform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legii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concediul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şi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indemnizaţia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pentru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creşterea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acordate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anterior,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dacă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cererea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este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depusă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in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termen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60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zile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la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dată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;</w:t>
      </w:r>
    </w:p>
    <w:p w:rsidR="00B6433C" w:rsidRPr="00B6433C" w:rsidRDefault="00B6433C" w:rsidP="00B6433C">
      <w:pPr>
        <w:numPr>
          <w:ilvl w:val="0"/>
          <w:numId w:val="30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de la data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depunerii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cererii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pentru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părinții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care au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beneficiat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indemnizație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creștere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dar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situații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diferite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celei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la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punctul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1;</w:t>
      </w:r>
    </w:p>
    <w:p w:rsidR="00B6433C" w:rsidRPr="00B6433C" w:rsidRDefault="00B6433C" w:rsidP="00B6433C">
      <w:pPr>
        <w:numPr>
          <w:ilvl w:val="0"/>
          <w:numId w:val="30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de la data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depunerii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cererii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pentru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părinții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care au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realizat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venituri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impozabile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au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fost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perioade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asimilate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anul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anterior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datei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depunerii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cererii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;</w:t>
      </w:r>
    </w:p>
    <w:p w:rsidR="00B6433C" w:rsidRDefault="00B6433C" w:rsidP="00B6433C">
      <w:pPr>
        <w:numPr>
          <w:ilvl w:val="0"/>
          <w:numId w:val="30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proofErr w:type="gram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lastRenderedPageBreak/>
        <w:t>în</w:t>
      </w:r>
      <w:proofErr w:type="spellEnd"/>
      <w:proofErr w:type="gram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cazurile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adopție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plasament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tutelă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termenele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stabilite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mai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sus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se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aplică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ţinând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cont de data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adopţiei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instituirii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tutelei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plasamentului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.</w:t>
      </w:r>
    </w:p>
    <w:p w:rsidR="00B6433C" w:rsidRPr="00B6433C" w:rsidRDefault="00B6433C" w:rsidP="00B6433C">
      <w:p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</w:p>
    <w:p w:rsidR="00B6433C" w:rsidRPr="00B6433C" w:rsidRDefault="00B6433C" w:rsidP="00B6433C">
      <w:pPr>
        <w:shd w:val="clear" w:color="auto" w:fill="FFFFFF"/>
        <w:spacing w:after="72"/>
        <w:textAlignment w:val="baseline"/>
        <w:outlineLvl w:val="2"/>
        <w:rPr>
          <w:rFonts w:ascii="inherit" w:hAnsi="inherit" w:cs="Helvetica"/>
          <w:color w:val="444444"/>
          <w:sz w:val="33"/>
          <w:szCs w:val="33"/>
          <w:lang w:eastAsia="en-US"/>
        </w:rPr>
      </w:pPr>
      <w:r>
        <w:rPr>
          <w:rFonts w:ascii="inherit" w:hAnsi="inherit" w:cs="Helvetica"/>
          <w:color w:val="444444"/>
          <w:sz w:val="33"/>
          <w:szCs w:val="33"/>
          <w:lang w:eastAsia="en-US"/>
        </w:rPr>
        <w:tab/>
      </w:r>
      <w:r w:rsidRPr="00B6433C">
        <w:rPr>
          <w:rFonts w:ascii="inherit" w:hAnsi="inherit" w:cs="Helvetica"/>
          <w:color w:val="444444"/>
          <w:sz w:val="33"/>
          <w:szCs w:val="33"/>
          <w:lang w:eastAsia="en-US"/>
        </w:rPr>
        <w:t>ACTE NECESARE</w:t>
      </w:r>
    </w:p>
    <w:p w:rsidR="00B6433C" w:rsidRPr="00B6433C" w:rsidRDefault="00B6433C" w:rsidP="00B6433C">
      <w:pPr>
        <w:numPr>
          <w:ilvl w:val="0"/>
          <w:numId w:val="31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Cerere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şi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declaraţii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tip (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Anexa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1)</w:t>
      </w:r>
    </w:p>
    <w:p w:rsidR="00B6433C" w:rsidRPr="00B6433C" w:rsidRDefault="00B6433C" w:rsidP="00B6433C">
      <w:pPr>
        <w:numPr>
          <w:ilvl w:val="0"/>
          <w:numId w:val="31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Adeverinţă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eliberată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angajator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autorităţile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competente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(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Anexa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2),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după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caz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care </w:t>
      </w:r>
      <w:proofErr w:type="spellStart"/>
      <w:proofErr w:type="gram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să</w:t>
      </w:r>
      <w:proofErr w:type="spellEnd"/>
      <w:proofErr w:type="gram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ateste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veniturile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nete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realizate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părintele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salariat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12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luni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din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ultimele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24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înaintea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datei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naşterii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.</w:t>
      </w:r>
    </w:p>
    <w:p w:rsidR="00B6433C" w:rsidRPr="00B6433C" w:rsidRDefault="00B6433C" w:rsidP="00B6433C">
      <w:pPr>
        <w:numPr>
          <w:ilvl w:val="0"/>
          <w:numId w:val="31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după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contractele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munca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(cu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viza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"conform cu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originalul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”,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ştampila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şi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semnătura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angajatorului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) de la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toate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locurile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muncă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unde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lucrat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anul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anterior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nașterii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precum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și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eventuale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adiționale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privind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modificări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salariale</w:t>
      </w:r>
      <w:proofErr w:type="spellEnd"/>
    </w:p>
    <w:p w:rsidR="00B6433C" w:rsidRPr="00B6433C" w:rsidRDefault="00B6433C" w:rsidP="00B6433C">
      <w:pPr>
        <w:numPr>
          <w:ilvl w:val="0"/>
          <w:numId w:val="31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proofErr w:type="gram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decizia</w:t>
      </w:r>
      <w:proofErr w:type="spellEnd"/>
      <w:proofErr w:type="gram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suspendare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activității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.</w:t>
      </w:r>
    </w:p>
    <w:p w:rsidR="00B6433C" w:rsidRPr="00B6433C" w:rsidRDefault="00B6433C" w:rsidP="00B6433C">
      <w:pPr>
        <w:numPr>
          <w:ilvl w:val="0"/>
          <w:numId w:val="31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In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cazul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activităților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independente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sunt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necesare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: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certificatul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înregistrare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fiscală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/contract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colaborare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mențiunea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privind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suspendarea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activității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la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Registrul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Comerțului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precum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și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eliberate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Administrația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Financiară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care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ateste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veniturile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realizate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ultimele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24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luni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anterioare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nașterii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și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data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suspendării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activității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;</w:t>
      </w:r>
    </w:p>
    <w:p w:rsidR="00B6433C" w:rsidRPr="00B6433C" w:rsidRDefault="00B6433C" w:rsidP="00B6433C">
      <w:pPr>
        <w:numPr>
          <w:ilvl w:val="0"/>
          <w:numId w:val="31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decizie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acordare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încetare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indemnizației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creștere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copilului</w:t>
      </w:r>
      <w:proofErr w:type="spellEnd"/>
    </w:p>
    <w:p w:rsidR="00B6433C" w:rsidRPr="00B6433C" w:rsidRDefault="00B6433C" w:rsidP="00B6433C">
      <w:pPr>
        <w:numPr>
          <w:ilvl w:val="0"/>
          <w:numId w:val="31"/>
        </w:numPr>
        <w:shd w:val="clear" w:color="auto" w:fill="FFFFFF"/>
        <w:spacing w:line="360" w:lineRule="atLeast"/>
        <w:ind w:left="360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xerox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-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identitate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ale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celor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doi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părinți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certificatul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naștere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al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certificat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căsătorie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certificat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de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încadrare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în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grad de handicap al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copilului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;</w:t>
      </w:r>
    </w:p>
    <w:p w:rsidR="00B6433C" w:rsidRDefault="00B6433C" w:rsidP="00B6433C">
      <w:pPr>
        <w:shd w:val="clear" w:color="auto" w:fill="FFFFFF"/>
        <w:spacing w:after="72"/>
        <w:textAlignment w:val="baseline"/>
        <w:outlineLvl w:val="2"/>
        <w:rPr>
          <w:rFonts w:ascii="inherit" w:hAnsi="inherit" w:cs="Helvetica"/>
          <w:color w:val="333344"/>
          <w:sz w:val="22"/>
          <w:szCs w:val="22"/>
          <w:lang w:eastAsia="en-US"/>
        </w:rPr>
      </w:pPr>
    </w:p>
    <w:p w:rsidR="00B6433C" w:rsidRPr="00B6433C" w:rsidRDefault="00B6433C" w:rsidP="00B6433C">
      <w:pPr>
        <w:shd w:val="clear" w:color="auto" w:fill="FFFFFF"/>
        <w:spacing w:after="72"/>
        <w:textAlignment w:val="baseline"/>
        <w:outlineLvl w:val="2"/>
        <w:rPr>
          <w:rFonts w:ascii="inherit" w:hAnsi="inherit" w:cs="Helvetica"/>
          <w:color w:val="444444"/>
          <w:sz w:val="33"/>
          <w:szCs w:val="33"/>
          <w:lang w:eastAsia="en-US"/>
        </w:rPr>
      </w:pPr>
      <w:r>
        <w:rPr>
          <w:rFonts w:ascii="inherit" w:hAnsi="inherit" w:cs="Helvetica"/>
          <w:color w:val="333344"/>
          <w:sz w:val="22"/>
          <w:szCs w:val="22"/>
          <w:lang w:eastAsia="en-US"/>
        </w:rPr>
        <w:tab/>
      </w:r>
      <w:r w:rsidRPr="00B6433C">
        <w:rPr>
          <w:rFonts w:ascii="inherit" w:hAnsi="inherit" w:cs="Helvetica"/>
          <w:color w:val="444444"/>
          <w:sz w:val="33"/>
          <w:szCs w:val="33"/>
          <w:lang w:eastAsia="en-US"/>
        </w:rPr>
        <w:t>NOTĂ</w:t>
      </w:r>
    </w:p>
    <w:p w:rsidR="00B6433C" w:rsidRPr="00B6433C" w:rsidRDefault="00B6433C" w:rsidP="00B6433C">
      <w:pPr>
        <w:shd w:val="clear" w:color="auto" w:fill="FFFFFF"/>
        <w:spacing w:after="240" w:line="360" w:lineRule="atLeast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r>
        <w:rPr>
          <w:rFonts w:ascii="inherit" w:hAnsi="inherit" w:cs="Helvetica"/>
          <w:color w:val="333344"/>
          <w:sz w:val="22"/>
          <w:szCs w:val="22"/>
          <w:lang w:eastAsia="en-US"/>
        </w:rPr>
        <w:tab/>
      </w:r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La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depunerea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dosarului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vor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fi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prezentate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toate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actele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in original,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iar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cererea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şi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adeverinţa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vor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fi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completate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fără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greşeli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sau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ştersături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.</w:t>
      </w:r>
    </w:p>
    <w:p w:rsidR="00B6433C" w:rsidRPr="00B6433C" w:rsidRDefault="00B6433C" w:rsidP="00B6433C">
      <w:pPr>
        <w:shd w:val="clear" w:color="auto" w:fill="FFFFFF"/>
        <w:spacing w:after="240" w:line="360" w:lineRule="atLeast"/>
        <w:textAlignment w:val="baseline"/>
        <w:rPr>
          <w:rFonts w:ascii="inherit" w:hAnsi="inherit" w:cs="Helvetica"/>
          <w:color w:val="333344"/>
          <w:sz w:val="22"/>
          <w:szCs w:val="22"/>
          <w:lang w:eastAsia="en-US"/>
        </w:rPr>
      </w:pPr>
      <w:r>
        <w:rPr>
          <w:rFonts w:ascii="inherit" w:hAnsi="inherit" w:cs="Helvetica"/>
          <w:color w:val="333344"/>
          <w:sz w:val="22"/>
          <w:szCs w:val="22"/>
          <w:lang w:eastAsia="en-US"/>
        </w:rPr>
        <w:tab/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Pentru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virarea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indemnizaţiei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in cont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bancar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, se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va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ataşa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un extras de cont, cu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semnătura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şi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ştampila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proofErr w:type="spellStart"/>
      <w:proofErr w:type="gramStart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>băncii</w:t>
      </w:r>
      <w:proofErr w:type="spellEnd"/>
      <w:r w:rsidRPr="00B6433C"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</w:t>
      </w:r>
      <w:r>
        <w:rPr>
          <w:rFonts w:ascii="inherit" w:hAnsi="inherit" w:cs="Helvetica"/>
          <w:color w:val="333344"/>
          <w:sz w:val="22"/>
          <w:szCs w:val="22"/>
          <w:lang w:eastAsia="en-US"/>
        </w:rPr>
        <w:t xml:space="preserve"> .</w:t>
      </w:r>
      <w:proofErr w:type="gramEnd"/>
    </w:p>
    <w:p w:rsidR="004F2A18" w:rsidRDefault="004F2A18" w:rsidP="009B4119">
      <w:pPr>
        <w:jc w:val="both"/>
      </w:pPr>
    </w:p>
    <w:sectPr w:rsidR="004F2A18" w:rsidSect="004E78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A03"/>
    <w:multiLevelType w:val="multilevel"/>
    <w:tmpl w:val="C5E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15A73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D41316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613CED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AC68AB"/>
    <w:multiLevelType w:val="multilevel"/>
    <w:tmpl w:val="4F8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A11623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57520B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AF108B"/>
    <w:multiLevelType w:val="multilevel"/>
    <w:tmpl w:val="C37A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E50927"/>
    <w:multiLevelType w:val="hybridMultilevel"/>
    <w:tmpl w:val="CB0E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8614C"/>
    <w:multiLevelType w:val="multilevel"/>
    <w:tmpl w:val="D11E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0419D6"/>
    <w:multiLevelType w:val="hybridMultilevel"/>
    <w:tmpl w:val="929E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869B9"/>
    <w:multiLevelType w:val="hybridMultilevel"/>
    <w:tmpl w:val="78D2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81C6B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641F82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7F67DF"/>
    <w:multiLevelType w:val="hybridMultilevel"/>
    <w:tmpl w:val="4E74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03859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6A3702"/>
    <w:multiLevelType w:val="hybridMultilevel"/>
    <w:tmpl w:val="8FF0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73DE4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2153FF"/>
    <w:multiLevelType w:val="multilevel"/>
    <w:tmpl w:val="414A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E3566E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4B5DA7"/>
    <w:multiLevelType w:val="multilevel"/>
    <w:tmpl w:val="4D32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4357E1"/>
    <w:multiLevelType w:val="multilevel"/>
    <w:tmpl w:val="F03E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52452F2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C27753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5011C8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7071A27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614E16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A442A4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943928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B960C11"/>
    <w:multiLevelType w:val="multilevel"/>
    <w:tmpl w:val="D75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CF752D1"/>
    <w:multiLevelType w:val="multilevel"/>
    <w:tmpl w:val="AB5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16"/>
  </w:num>
  <w:num w:numId="5">
    <w:abstractNumId w:val="4"/>
  </w:num>
  <w:num w:numId="6">
    <w:abstractNumId w:val="20"/>
  </w:num>
  <w:num w:numId="7">
    <w:abstractNumId w:val="7"/>
  </w:num>
  <w:num w:numId="8">
    <w:abstractNumId w:val="30"/>
  </w:num>
  <w:num w:numId="9">
    <w:abstractNumId w:val="12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"/>
  </w:num>
  <w:num w:numId="15">
    <w:abstractNumId w:val="15"/>
  </w:num>
  <w:num w:numId="16">
    <w:abstractNumId w:val="27"/>
  </w:num>
  <w:num w:numId="17">
    <w:abstractNumId w:val="17"/>
  </w:num>
  <w:num w:numId="18">
    <w:abstractNumId w:val="6"/>
  </w:num>
  <w:num w:numId="19">
    <w:abstractNumId w:val="14"/>
  </w:num>
  <w:num w:numId="20">
    <w:abstractNumId w:val="13"/>
  </w:num>
  <w:num w:numId="21">
    <w:abstractNumId w:val="24"/>
  </w:num>
  <w:num w:numId="22">
    <w:abstractNumId w:val="2"/>
  </w:num>
  <w:num w:numId="23">
    <w:abstractNumId w:val="26"/>
  </w:num>
  <w:num w:numId="24">
    <w:abstractNumId w:val="22"/>
  </w:num>
  <w:num w:numId="25">
    <w:abstractNumId w:val="19"/>
  </w:num>
  <w:num w:numId="26">
    <w:abstractNumId w:val="3"/>
  </w:num>
  <w:num w:numId="27">
    <w:abstractNumId w:val="5"/>
  </w:num>
  <w:num w:numId="28">
    <w:abstractNumId w:val="25"/>
  </w:num>
  <w:num w:numId="29">
    <w:abstractNumId w:val="23"/>
  </w:num>
  <w:num w:numId="30">
    <w:abstractNumId w:val="28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E7859"/>
    <w:rsid w:val="00476FC2"/>
    <w:rsid w:val="004B3A37"/>
    <w:rsid w:val="004E7859"/>
    <w:rsid w:val="004F2A18"/>
    <w:rsid w:val="009B4119"/>
    <w:rsid w:val="009D7579"/>
    <w:rsid w:val="00A85FD9"/>
    <w:rsid w:val="00B6433C"/>
    <w:rsid w:val="00D60559"/>
    <w:rsid w:val="00E7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9"/>
    <w:rPr>
      <w:rFonts w:ascii="Book Antiqua" w:hAnsi="Book Antiqua"/>
      <w:sz w:val="24"/>
      <w:szCs w:val="24"/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4E785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4E785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D7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859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E7859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E78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7859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59"/>
    <w:rPr>
      <w:rFonts w:ascii="Tahoma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4E7859"/>
    <w:pPr>
      <w:ind w:left="720"/>
      <w:contextualSpacing/>
    </w:pPr>
  </w:style>
  <w:style w:type="paragraph" w:customStyle="1" w:styleId="introduction">
    <w:name w:val="introduction"/>
    <w:basedOn w:val="Normal"/>
    <w:rsid w:val="00476FC2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Strong">
    <w:name w:val="Strong"/>
    <w:basedOn w:val="DefaultParagraphFont"/>
    <w:uiPriority w:val="22"/>
    <w:qFormat/>
    <w:rsid w:val="00476FC2"/>
    <w:rPr>
      <w:b/>
      <w:bCs/>
    </w:rPr>
  </w:style>
  <w:style w:type="paragraph" w:customStyle="1" w:styleId="highlight">
    <w:name w:val="highlight"/>
    <w:basedOn w:val="Normal"/>
    <w:rsid w:val="00476FC2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9D7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5118">
          <w:marLeft w:val="0"/>
          <w:marRight w:val="0"/>
          <w:marTop w:val="0"/>
          <w:marBottom w:val="450"/>
          <w:divBdr>
            <w:top w:val="single" w:sz="6" w:space="4" w:color="C0C0C0"/>
            <w:left w:val="none" w:sz="0" w:space="4" w:color="auto"/>
            <w:bottom w:val="single" w:sz="6" w:space="4" w:color="C0C0C0"/>
            <w:right w:val="none" w:sz="0" w:space="4" w:color="auto"/>
          </w:divBdr>
        </w:div>
        <w:div w:id="1161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7302">
          <w:marLeft w:val="0"/>
          <w:marRight w:val="0"/>
          <w:marTop w:val="0"/>
          <w:marBottom w:val="450"/>
          <w:divBdr>
            <w:top w:val="single" w:sz="6" w:space="4" w:color="C0C0C0"/>
            <w:left w:val="none" w:sz="0" w:space="4" w:color="auto"/>
            <w:bottom w:val="single" w:sz="6" w:space="4" w:color="C0C0C0"/>
            <w:right w:val="none" w:sz="0" w:space="4" w:color="auto"/>
          </w:divBdr>
        </w:div>
        <w:div w:id="11696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04">
          <w:marLeft w:val="0"/>
          <w:marRight w:val="0"/>
          <w:marTop w:val="0"/>
          <w:marBottom w:val="450"/>
          <w:divBdr>
            <w:top w:val="single" w:sz="6" w:space="4" w:color="C0C0C0"/>
            <w:left w:val="none" w:sz="0" w:space="4" w:color="auto"/>
            <w:bottom w:val="single" w:sz="6" w:space="4" w:color="C0C0C0"/>
            <w:right w:val="none" w:sz="0" w:space="4" w:color="auto"/>
          </w:divBdr>
        </w:div>
        <w:div w:id="651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785">
          <w:marLeft w:val="0"/>
          <w:marRight w:val="0"/>
          <w:marTop w:val="0"/>
          <w:marBottom w:val="450"/>
          <w:divBdr>
            <w:top w:val="single" w:sz="6" w:space="4" w:color="C0C0C0"/>
            <w:left w:val="none" w:sz="0" w:space="4" w:color="auto"/>
            <w:bottom w:val="single" w:sz="6" w:space="4" w:color="C0C0C0"/>
            <w:right w:val="none" w:sz="0" w:space="4" w:color="auto"/>
          </w:divBdr>
        </w:div>
        <w:div w:id="499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96">
          <w:marLeft w:val="0"/>
          <w:marRight w:val="0"/>
          <w:marTop w:val="0"/>
          <w:marBottom w:val="450"/>
          <w:divBdr>
            <w:top w:val="single" w:sz="6" w:space="4" w:color="C0C0C0"/>
            <w:left w:val="none" w:sz="0" w:space="4" w:color="auto"/>
            <w:bottom w:val="single" w:sz="6" w:space="4" w:color="C0C0C0"/>
            <w:right w:val="none" w:sz="0" w:space="4" w:color="auto"/>
          </w:divBdr>
        </w:div>
        <w:div w:id="20021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sbacau.ro/indemnizatia-si-concediul-pentru-ingrijirea-copilului-cu-handicap-ttt-5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2019-01-04T08:56:00Z</dcterms:created>
  <dcterms:modified xsi:type="dcterms:W3CDTF">2019-01-04T08:56:00Z</dcterms:modified>
</cp:coreProperties>
</file>